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00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体外冲击波治疗仪，数量1台</w:t>
      </w:r>
    </w:p>
    <w:p w14:paraId="24DBCD3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参数：</w:t>
      </w:r>
    </w:p>
    <w:p w14:paraId="02B8875F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一、主机与基本参数</w:t>
      </w:r>
    </w:p>
    <w:p w14:paraId="1278ADF2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设备原理： 采用气压弹道式原理，配置常规与高能量两种治疗手柄。</w:t>
      </w:r>
    </w:p>
    <w:p w14:paraId="41947E02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电源规格：100-240V AC，50-60Hz。</w:t>
      </w:r>
    </w:p>
    <w:p w14:paraId="52C1F09E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设备寿命：设计使用年限≥10年。</w:t>
      </w:r>
    </w:p>
    <w:p w14:paraId="542DA063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二、核心性能参数</w:t>
      </w:r>
    </w:p>
    <w:p w14:paraId="2E5A15B6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能量参数：最大能流密度 ≥1.7mJ/mm² 。</w:t>
      </w:r>
    </w:p>
    <w:p w14:paraId="4EEF1F3C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治疗压力：最大治疗压力≥4bar，治疗过程中可连续调节。</w:t>
      </w:r>
    </w:p>
    <w:p w14:paraId="087F245A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工作频率：最大冲击频率≥20Hz，治疗过程中可连续调节。</w:t>
      </w:r>
    </w:p>
    <w:p w14:paraId="03D7BE54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系统压力：系统最大输出压力≥11.2MPa。</w:t>
      </w:r>
    </w:p>
    <w:p w14:paraId="7EBB3380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操作界面：主机采用触摸式仪表圆盘控制，可精确调节治疗气压。</w:t>
      </w:r>
    </w:p>
    <w:p w14:paraId="0FA5D312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三、手柄与治疗头配置</w:t>
      </w:r>
    </w:p>
    <w:p w14:paraId="4FF46531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手柄设计：可伸缩式结构，配备高精密锁定弹道，有效缓冲治疗反作用力，降低操作者职业劳损。</w:t>
      </w:r>
    </w:p>
    <w:p w14:paraId="5A518B4F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手柄控制：设有手柄开关，便于治疗中快速操作。</w:t>
      </w:r>
    </w:p>
    <w:p w14:paraId="464FBDAC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握持设计：手柄采用减震硅胶软握把，减轻操作时反冲力影响。</w:t>
      </w:r>
    </w:p>
    <w:p w14:paraId="6313A5DE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压力指示：治疗探头集成施压指示器，带压力刻度显示。</w:t>
      </w:r>
    </w:p>
    <w:p w14:paraId="7DD223CF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使用计数：手柄操作区设有独立计数器，记录累计使用次数，便于剂量管理。</w:t>
      </w:r>
    </w:p>
    <w:p w14:paraId="6A9541B8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适配扩展：主机可适配能量守恒治疗手柄，并配有专用运输箱，便于手柄携带。</w:t>
      </w:r>
    </w:p>
    <w:p w14:paraId="47C11FBE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治疗头配置：标配15mm聚焦式与15mm发散式冲击波头，满足不同治疗需求。</w:t>
      </w:r>
    </w:p>
    <w:p w14:paraId="0125531C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大治疗头：配置大面积治疗头（直径≥30m）。</w:t>
      </w:r>
    </w:p>
    <w:p w14:paraId="1E207C04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消毒耐受：治疗头及弹道可耐受+135℃ 高温高压消毒。</w:t>
      </w:r>
    </w:p>
    <w:p w14:paraId="0DE85148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四、空气压缩与气动系统</w:t>
      </w:r>
    </w:p>
    <w:p w14:paraId="61F73160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主机系统：移动柜式设计，含主机、台车及独立外置式全封闭空气压缩机，压缩机具减震功能。</w:t>
      </w:r>
    </w:p>
    <w:p w14:paraId="391683BF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核心部件：核心部件为原装进口，包括空气压缩机与手柄套件。</w:t>
      </w:r>
    </w:p>
    <w:p w14:paraId="54372D79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气源供应：空压机排气量 ≥50L/min,输出气压 ≥8bar，确保气体供应充足稳定。</w:t>
      </w:r>
    </w:p>
    <w:p w14:paraId="4E97AA5B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工作气耗：工作气压 5 - 6bar，在 4bar 治疗压力下耗气量约20ml/min</w:t>
      </w:r>
    </w:p>
    <w:p w14:paraId="5A630DA3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五、移动与辅助设计</w:t>
      </w:r>
    </w:p>
    <w:p w14:paraId="2974CBCF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配套推车：专用推车用于承载压缩机，便于移动；空压机重量≥24kg。</w:t>
      </w:r>
    </w:p>
    <w:p w14:paraId="1DCA245B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移动设计：推车配备万向静音轮，移动灵活安静。</w:t>
      </w:r>
    </w:p>
    <w:p w14:paraId="27AD7D8A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理线设计：推车配备理线杆，便于整理手柄连接线。</w:t>
      </w:r>
    </w:p>
    <w:p w14:paraId="6D241950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六、注册与适应症</w:t>
      </w:r>
    </w:p>
    <w:p w14:paraId="77C31F04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注册范围：经国家药品监督管理局批准，适用于骨骼附近软组织慢性疼痛的治疗（非辅助治疗）。具体适应症包括但不限于：</w:t>
      </w:r>
    </w:p>
    <w:p w14:paraId="4F8F396E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肩钙化性肌腱炎</w:t>
      </w:r>
    </w:p>
    <w:p w14:paraId="61BA5593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肩峰下疼痛综合征</w:t>
      </w:r>
    </w:p>
    <w:p w14:paraId="158FA5A2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网球肘</w:t>
      </w:r>
    </w:p>
    <w:p w14:paraId="09DF2959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股骨大转子疼痛综合征</w:t>
      </w:r>
    </w:p>
    <w:p w14:paraId="0442EA6C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骨尖综合征</w:t>
      </w:r>
    </w:p>
    <w:p w14:paraId="2C726ABC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胫骨结节骨软骨炎</w:t>
      </w:r>
    </w:p>
    <w:p w14:paraId="2CA46844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腔骨内侧应力综合征</w:t>
      </w:r>
    </w:p>
    <w:p w14:paraId="0066F11D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插入性跟腱肌腱病</w:t>
      </w:r>
    </w:p>
    <w:p w14:paraId="68B099BF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中间体跟腱肌腱病</w:t>
      </w:r>
    </w:p>
    <w:p w14:paraId="4D2E18B9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足底筋膜炎</w:t>
      </w:r>
    </w:p>
    <w:p w14:paraId="2F772F28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肌筋膜疼痛综合征</w:t>
      </w:r>
    </w:p>
    <w:p w14:paraId="5D977806">
      <w:pPr>
        <w:jc w:val="both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>特异性和根性腰背疼痛</w:t>
      </w:r>
    </w:p>
    <w:p w14:paraId="2D162C7E">
      <w:pPr>
        <w:ind w:firstLine="420"/>
        <w:jc w:val="both"/>
        <w:rPr>
          <w:rFonts w:hint="default"/>
          <w:lang w:val="en-US" w:eastAsia="zh-CN"/>
        </w:rPr>
      </w:pPr>
    </w:p>
    <w:p w14:paraId="13C1D11B">
      <w:pPr>
        <w:jc w:val="both"/>
        <w:rPr>
          <w:rFonts w:hint="default"/>
          <w:lang w:val="en-US" w:eastAsia="zh-CN"/>
        </w:rPr>
      </w:pPr>
    </w:p>
    <w:p w14:paraId="1BA20538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F576E"/>
    <w:rsid w:val="0F5F576E"/>
    <w:rsid w:val="611A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2026-04-24T00:40:00Z</dcterms:created>
  <dc:creator>   Y</dc:creator>
  <cp:lastModifiedBy>   Y</cp:lastModifiedBy>
  <dcterms:modified xsi:type="dcterms:W3CDTF">2026-04-24T00:47:53Z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D800F15888CE409DB7735870465DE15D_11</vt:lpwstr>
  </property>
  <property fmtid="{D5CDD505-2E9C-101B-9397-08002B2CF9AE}" pid="4" name="KSOTemplateDocerSaveRecord">
    <vt:lpwstr>eyJoZGlkIjoiMjlmMmU5MTA3YTdiZWFiZmM5NWUwYjk0NWMwYzNkOGEiLCJ1c2VySWQiOiIyMTQwNDc4MTEifQ==</vt:lpwstr>
  </property>
</Properties>
</file>